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C6FB" w14:textId="75A68DF4" w:rsidR="00FC312C" w:rsidRDefault="00FC312C" w:rsidP="00FC312C">
      <w:pPr>
        <w:jc w:val="center"/>
        <w:rPr>
          <w:b/>
          <w:bCs/>
        </w:rPr>
      </w:pPr>
      <w:r>
        <w:rPr>
          <w:b/>
          <w:bCs/>
        </w:rPr>
        <w:t xml:space="preserve">ASCC Arts and Humanities 1 Panel </w:t>
      </w:r>
    </w:p>
    <w:p w14:paraId="11A0C919" w14:textId="1B9A8592" w:rsidR="00FC312C" w:rsidRDefault="004C7385" w:rsidP="00FC312C">
      <w:pPr>
        <w:jc w:val="center"/>
      </w:pPr>
      <w:r>
        <w:t>A</w:t>
      </w:r>
      <w:r w:rsidR="005F65FE">
        <w:t>pproved</w:t>
      </w:r>
      <w:r w:rsidR="00FC312C">
        <w:t xml:space="preserve"> Minutes</w:t>
      </w:r>
    </w:p>
    <w:p w14:paraId="5B0FD1A2" w14:textId="0783F586" w:rsidR="00FC312C" w:rsidRDefault="00FC312C" w:rsidP="00FC312C">
      <w:r>
        <w:t>Monday, March 21</w:t>
      </w:r>
      <w:r w:rsidRPr="00FC312C">
        <w:rPr>
          <w:vertAlign w:val="superscript"/>
        </w:rPr>
        <w:t>st</w:t>
      </w:r>
      <w:r>
        <w:t xml:space="preserve">, </w:t>
      </w:r>
      <w:proofErr w:type="gramStart"/>
      <w:r>
        <w:t>2022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1:00PM – 2:30PM</w:t>
      </w:r>
    </w:p>
    <w:p w14:paraId="4737829A" w14:textId="30B43D93" w:rsidR="00FC312C" w:rsidRDefault="00FC312C" w:rsidP="00FC312C">
      <w:proofErr w:type="spellStart"/>
      <w:r>
        <w:t>CarmenZoom</w:t>
      </w:r>
      <w:proofErr w:type="spellEnd"/>
    </w:p>
    <w:p w14:paraId="0DAAF843" w14:textId="7302DD3B" w:rsidR="00FC312C" w:rsidRDefault="00FC312C" w:rsidP="00FC312C"/>
    <w:p w14:paraId="73B8FBA8" w14:textId="22F8358C" w:rsidR="00FC312C" w:rsidRDefault="00FC312C" w:rsidP="00FC312C">
      <w:r>
        <w:rPr>
          <w:b/>
          <w:bCs/>
        </w:rPr>
        <w:t>Attendees</w:t>
      </w:r>
      <w:r>
        <w:t>: Bitters, Blackburn, Cody, Hilty, Koehnlein, Podalsky, Smith, Staley, Vankeerbergen</w:t>
      </w:r>
    </w:p>
    <w:p w14:paraId="272AF5C8" w14:textId="3623C84B" w:rsidR="00FC312C" w:rsidRDefault="00FC312C" w:rsidP="00FC312C"/>
    <w:p w14:paraId="15C7C425" w14:textId="48975B53" w:rsidR="00FC312C" w:rsidRDefault="00FC312C" w:rsidP="00FC312C">
      <w:pPr>
        <w:pStyle w:val="ListParagraph"/>
        <w:numPr>
          <w:ilvl w:val="0"/>
          <w:numId w:val="1"/>
        </w:numPr>
      </w:pPr>
      <w:r>
        <w:t>Approval of 02/28/2022 Minutes</w:t>
      </w:r>
    </w:p>
    <w:p w14:paraId="7197565E" w14:textId="11546890" w:rsidR="00FC312C" w:rsidRDefault="00FC312C" w:rsidP="00FC312C">
      <w:pPr>
        <w:pStyle w:val="ListParagraph"/>
        <w:numPr>
          <w:ilvl w:val="1"/>
          <w:numId w:val="1"/>
        </w:numPr>
      </w:pPr>
      <w:r>
        <w:t xml:space="preserve">Podalsky, Koehnlein, </w:t>
      </w:r>
      <w:r>
        <w:rPr>
          <w:b/>
          <w:bCs/>
        </w:rPr>
        <w:t xml:space="preserve">unanimously approved </w:t>
      </w:r>
    </w:p>
    <w:p w14:paraId="6E3C1841" w14:textId="1BBA6F1B" w:rsidR="00FC312C" w:rsidRDefault="00FC312C" w:rsidP="00FC312C">
      <w:pPr>
        <w:pStyle w:val="ListParagraph"/>
        <w:numPr>
          <w:ilvl w:val="0"/>
          <w:numId w:val="1"/>
        </w:numPr>
      </w:pPr>
      <w:r>
        <w:t xml:space="preserve">Music 4555.12 (new course) </w:t>
      </w:r>
    </w:p>
    <w:p w14:paraId="5A45211E" w14:textId="527F98F9" w:rsidR="00FC312C" w:rsidRPr="00FC312C" w:rsidRDefault="00FC312C" w:rsidP="00FC312C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speaking more in the course syllabus about student work expectations, especially for the undergraduates. They recommend making a column within the syllabus that clearly lays out the expectations for undergraduates and the expectations for graduate students. </w:t>
      </w:r>
    </w:p>
    <w:p w14:paraId="041C648C" w14:textId="5E7AE4C4" w:rsidR="00FC312C" w:rsidRPr="004B641A" w:rsidRDefault="00FC312C" w:rsidP="00FC312C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including a sentence within the course syllabus that defines the workload estimation broken down in estimated hours per week </w:t>
      </w:r>
      <w:r w:rsidR="004B641A">
        <w:rPr>
          <w:i/>
          <w:iCs/>
        </w:rPr>
        <w:t xml:space="preserve">so students can sufficiently understand how much time is expected of them. </w:t>
      </w:r>
    </w:p>
    <w:p w14:paraId="2BA713F0" w14:textId="40BBAA5A" w:rsidR="004B641A" w:rsidRDefault="004B641A" w:rsidP="00FC312C">
      <w:pPr>
        <w:pStyle w:val="ListParagraph"/>
        <w:numPr>
          <w:ilvl w:val="1"/>
          <w:numId w:val="1"/>
        </w:numPr>
      </w:pPr>
      <w:r>
        <w:t xml:space="preserve">Koehnlein, Blackburn,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two recommendations </w:t>
      </w:r>
      <w:r>
        <w:t xml:space="preserve">(in italics above) </w:t>
      </w:r>
    </w:p>
    <w:p w14:paraId="7A831502" w14:textId="33FAC9A3" w:rsidR="004B641A" w:rsidRDefault="004B641A" w:rsidP="004B641A">
      <w:pPr>
        <w:pStyle w:val="ListParagraph"/>
        <w:numPr>
          <w:ilvl w:val="0"/>
          <w:numId w:val="1"/>
        </w:numPr>
      </w:pPr>
      <w:r>
        <w:t xml:space="preserve">Music 6673 (new course) </w:t>
      </w:r>
    </w:p>
    <w:p w14:paraId="7952240C" w14:textId="77777777" w:rsidR="004B641A" w:rsidRPr="00FC312C" w:rsidRDefault="004B641A" w:rsidP="004B641A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speaking more in the course syllabus about student work expectations, especially for the undergraduates. They recommend making a column within the syllabus that clearly lays out the expectations for undergraduates and the expectations for graduate students. </w:t>
      </w:r>
    </w:p>
    <w:p w14:paraId="5F3DE38F" w14:textId="77777777" w:rsidR="004B641A" w:rsidRPr="004B641A" w:rsidRDefault="004B641A" w:rsidP="004B641A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including a sentence within the course syllabus that defines the workload estimation broken down in estimated hours per week so students can sufficiently understand how much time is expected of them. </w:t>
      </w:r>
    </w:p>
    <w:p w14:paraId="644FC0E2" w14:textId="77777777" w:rsidR="004B641A" w:rsidRDefault="004B641A" w:rsidP="004B641A">
      <w:pPr>
        <w:pStyle w:val="ListParagraph"/>
        <w:numPr>
          <w:ilvl w:val="1"/>
          <w:numId w:val="1"/>
        </w:numPr>
      </w:pPr>
      <w:r>
        <w:t xml:space="preserve">Koehnlein, Blackburn,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two recommendations </w:t>
      </w:r>
      <w:r>
        <w:t xml:space="preserve">(in italics above) </w:t>
      </w:r>
    </w:p>
    <w:p w14:paraId="37164217" w14:textId="1EA4C20B" w:rsidR="004B641A" w:rsidRDefault="004B641A" w:rsidP="004B641A">
      <w:pPr>
        <w:pStyle w:val="ListParagraph"/>
        <w:numPr>
          <w:ilvl w:val="0"/>
          <w:numId w:val="1"/>
        </w:numPr>
      </w:pPr>
      <w:r>
        <w:t xml:space="preserve">Turkish 2101 (existing course requesting 100% DL) (return) </w:t>
      </w:r>
    </w:p>
    <w:p w14:paraId="31B4EA8D" w14:textId="2322FDF9" w:rsidR="004B641A" w:rsidRPr="004B641A" w:rsidRDefault="004B641A" w:rsidP="004B641A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having students meet for </w:t>
      </w:r>
      <w:proofErr w:type="gramStart"/>
      <w:r>
        <w:rPr>
          <w:i/>
          <w:iCs/>
        </w:rPr>
        <w:t>55 minute</w:t>
      </w:r>
      <w:proofErr w:type="gramEnd"/>
      <w:r>
        <w:rPr>
          <w:i/>
          <w:iCs/>
        </w:rPr>
        <w:t xml:space="preserve"> periods instead of the intended 60 minutes (as stated on the first page of the syllabus) to best line up with standard OSU class schedules. This has potential to impact a student’s ability to enroll in their other courses. </w:t>
      </w:r>
    </w:p>
    <w:p w14:paraId="1075F3C1" w14:textId="6B633329" w:rsidR="004B641A" w:rsidRPr="004B641A" w:rsidRDefault="004B641A" w:rsidP="004B641A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On page 2 and 3 of the </w:t>
      </w:r>
      <w:proofErr w:type="gramStart"/>
      <w:r>
        <w:rPr>
          <w:i/>
          <w:iCs/>
        </w:rPr>
        <w:t>syllabus</w:t>
      </w:r>
      <w:proofErr w:type="gramEnd"/>
      <w:r>
        <w:rPr>
          <w:i/>
          <w:iCs/>
        </w:rPr>
        <w:t xml:space="preserve">, the credit hour expectation section is listed twice. The Panel recommends one of these sets of information be removed from the syllabus for student clarity. </w:t>
      </w:r>
    </w:p>
    <w:p w14:paraId="57AEA547" w14:textId="0CAB7608" w:rsidR="004B641A" w:rsidRPr="004B641A" w:rsidRDefault="004B641A" w:rsidP="004B641A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not assigning students coursework over designated University holidays (such as Spring Break), as breaks are designed with student wellness in mind </w:t>
      </w:r>
      <w:r>
        <w:rPr>
          <w:i/>
          <w:iCs/>
        </w:rPr>
        <w:lastRenderedPageBreak/>
        <w:t xml:space="preserve">and the College of Arts and Sciences has been placing heavy emphasis on increasing student wellness. </w:t>
      </w:r>
    </w:p>
    <w:p w14:paraId="28DBC49C" w14:textId="1275710C" w:rsidR="004B641A" w:rsidRDefault="004B641A" w:rsidP="004B641A">
      <w:pPr>
        <w:pStyle w:val="ListParagraph"/>
        <w:numPr>
          <w:ilvl w:val="1"/>
          <w:numId w:val="1"/>
        </w:numPr>
      </w:pPr>
      <w:r>
        <w:t xml:space="preserve">Podalsky, Blackburn, </w:t>
      </w:r>
      <w:r>
        <w:rPr>
          <w:b/>
          <w:bCs/>
        </w:rPr>
        <w:t>unanimously approved</w:t>
      </w:r>
      <w:r w:rsidR="009048A5">
        <w:rPr>
          <w:b/>
          <w:bCs/>
        </w:rPr>
        <w:t xml:space="preserve"> </w:t>
      </w:r>
      <w:r w:rsidR="009048A5">
        <w:t xml:space="preserve">with </w:t>
      </w:r>
      <w:r w:rsidR="009048A5">
        <w:rPr>
          <w:i/>
          <w:iCs/>
        </w:rPr>
        <w:t xml:space="preserve">three recommendations </w:t>
      </w:r>
      <w:r w:rsidR="009048A5">
        <w:t xml:space="preserve">(in italics above) </w:t>
      </w:r>
    </w:p>
    <w:p w14:paraId="72F24BB7" w14:textId="66A0AE40" w:rsidR="004B641A" w:rsidRDefault="004B641A" w:rsidP="004B641A">
      <w:pPr>
        <w:pStyle w:val="ListParagraph"/>
        <w:numPr>
          <w:ilvl w:val="0"/>
          <w:numId w:val="1"/>
        </w:numPr>
      </w:pPr>
      <w:r>
        <w:t xml:space="preserve">French 2101.61 (“new” course; 100% DL version of existing 2101.51) </w:t>
      </w:r>
    </w:p>
    <w:p w14:paraId="3D49B3AD" w14:textId="5AE6D047" w:rsidR="004B641A" w:rsidRPr="004B641A" w:rsidRDefault="004B641A" w:rsidP="004B641A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correcting the course number throughout the course to 2101.61, as currently it is frequently listed as 2101.51. </w:t>
      </w:r>
    </w:p>
    <w:p w14:paraId="63D12382" w14:textId="4B14B82C" w:rsidR="004B641A" w:rsidRPr="004B641A" w:rsidRDefault="004B641A" w:rsidP="004B641A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updating the Title IX statement within the course syllabus, as Kellie Brennan is no longer the University Title IX Coordinator. The most up-to-date Title IX statement can be found on the ASC Curriculum and Assessment Services website at: </w:t>
      </w:r>
      <w:hyperlink r:id="rId5" w:history="1">
        <w:r w:rsidRPr="001A1335">
          <w:rPr>
            <w:rStyle w:val="Hyperlink"/>
            <w:i/>
            <w:iCs/>
          </w:rPr>
          <w:t>https://asccas.osu.edu/curriculum/syllabus-elements</w:t>
        </w:r>
      </w:hyperlink>
      <w:r>
        <w:rPr>
          <w:i/>
          <w:iCs/>
        </w:rPr>
        <w:t xml:space="preserve">. </w:t>
      </w:r>
    </w:p>
    <w:p w14:paraId="74EA3E6E" w14:textId="30D9CDFD" w:rsidR="004B641A" w:rsidRPr="009048A5" w:rsidRDefault="004B641A" w:rsidP="004B641A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updating the Disability Statement in the course syllabus to the most up-to-date version, which can be found on the ASC Curriculum and Assessment Services website at: </w:t>
      </w:r>
      <w:hyperlink r:id="rId6" w:history="1">
        <w:r w:rsidRPr="001A1335">
          <w:rPr>
            <w:rStyle w:val="Hyperlink"/>
            <w:i/>
            <w:iCs/>
          </w:rPr>
          <w:t>https://asccas.osu.edu/curriculum/syllabus-elements</w:t>
        </w:r>
      </w:hyperlink>
      <w:r>
        <w:rPr>
          <w:i/>
          <w:iCs/>
        </w:rPr>
        <w:t xml:space="preserve">. </w:t>
      </w:r>
    </w:p>
    <w:p w14:paraId="2EC022E6" w14:textId="3E7E9048" w:rsidR="009048A5" w:rsidRDefault="009048A5" w:rsidP="004B641A">
      <w:pPr>
        <w:pStyle w:val="ListParagraph"/>
        <w:numPr>
          <w:ilvl w:val="1"/>
          <w:numId w:val="1"/>
        </w:numPr>
      </w:pPr>
      <w:r>
        <w:t xml:space="preserve">Koehnlein, Podalsky,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three recommendations </w:t>
      </w:r>
      <w:r>
        <w:t xml:space="preserve">(in italics above) </w:t>
      </w:r>
    </w:p>
    <w:p w14:paraId="1871F978" w14:textId="31B66A60" w:rsidR="009048A5" w:rsidRDefault="009048A5" w:rsidP="009048A5">
      <w:pPr>
        <w:pStyle w:val="ListParagraph"/>
        <w:numPr>
          <w:ilvl w:val="0"/>
          <w:numId w:val="1"/>
        </w:numPr>
      </w:pPr>
      <w:r>
        <w:t xml:space="preserve">History 4625 (existing course requesting 100% DL) </w:t>
      </w:r>
    </w:p>
    <w:p w14:paraId="3E1BB1AD" w14:textId="6C33770A" w:rsidR="009048A5" w:rsidRPr="009048A5" w:rsidRDefault="009048A5" w:rsidP="009048A5">
      <w:pPr>
        <w:pStyle w:val="ListParagraph"/>
        <w:numPr>
          <w:ilvl w:val="1"/>
          <w:numId w:val="1"/>
        </w:numPr>
      </w:pPr>
      <w:r>
        <w:rPr>
          <w:i/>
          <w:iCs/>
        </w:rPr>
        <w:t xml:space="preserve">The Panel recommends providing more information in the course syllabus regarding the course essays, such as if they must be submitted in single or double space, formatting preferences, etc. </w:t>
      </w:r>
    </w:p>
    <w:p w14:paraId="0D6AA40F" w14:textId="1A180619" w:rsidR="009048A5" w:rsidRPr="00FC312C" w:rsidRDefault="009048A5" w:rsidP="009048A5">
      <w:pPr>
        <w:pStyle w:val="ListParagraph"/>
        <w:numPr>
          <w:ilvl w:val="1"/>
          <w:numId w:val="1"/>
        </w:numPr>
      </w:pPr>
      <w:r>
        <w:t xml:space="preserve">Koehnlein, Podalsky, </w:t>
      </w:r>
      <w:r>
        <w:rPr>
          <w:b/>
          <w:bCs/>
        </w:rPr>
        <w:t xml:space="preserve">unanimously approved </w:t>
      </w:r>
      <w:r>
        <w:t xml:space="preserve">with </w:t>
      </w:r>
      <w:r>
        <w:rPr>
          <w:i/>
          <w:iCs/>
        </w:rPr>
        <w:t xml:space="preserve">one recommendation </w:t>
      </w:r>
      <w:r>
        <w:t xml:space="preserve">(in italics above) </w:t>
      </w:r>
    </w:p>
    <w:sectPr w:rsidR="009048A5" w:rsidRPr="00FC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5ABC"/>
    <w:multiLevelType w:val="hybridMultilevel"/>
    <w:tmpl w:val="87902552"/>
    <w:lvl w:ilvl="0" w:tplc="4FF86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04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2C"/>
    <w:rsid w:val="004B641A"/>
    <w:rsid w:val="004C7385"/>
    <w:rsid w:val="005F65FE"/>
    <w:rsid w:val="009048A5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DDDF"/>
  <w15:chartTrackingRefBased/>
  <w15:docId w15:val="{DA613C6B-B5A6-41F7-ACD9-FD4E7A7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curriculum/syllabus-elements" TargetMode="External"/><Relationship Id="rId5" Type="http://schemas.openxmlformats.org/officeDocument/2006/relationships/hyperlink" Target="https://asccas.osu.edu/curriculum/syllabus-el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2</cp:revision>
  <dcterms:created xsi:type="dcterms:W3CDTF">2022-05-24T14:19:00Z</dcterms:created>
  <dcterms:modified xsi:type="dcterms:W3CDTF">2022-05-24T14:19:00Z</dcterms:modified>
</cp:coreProperties>
</file>